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7E06" w:rsidP="00687E06" w:rsidRDefault="00687E06" w14:paraId="ecc277b" w14:textId="ecc277b">
      <w:pPr>
        <w15:collapsed w:val="false"/>
        <w:rPr>
          <w:b/>
        </w:rPr>
      </w:pPr>
    </w:p>
    <w:p w:rsidR="00687E06" w:rsidP="00687E06" w:rsidRDefault="00687E06">
      <w:pPr>
        <w:pStyle w:val="Naslov2"/>
        <w:rPr>
          <w:sz w:val="24"/>
        </w:rPr>
      </w:pPr>
      <w:r>
        <w:t xml:space="preserve">  </w:t>
      </w:r>
    </w:p>
    <w:p w:rsidR="00687E06" w:rsidP="00687E06" w:rsidRDefault="00687E06">
      <w:pPr>
        <w:pStyle w:val="Naslov2"/>
      </w:pPr>
    </w:p>
    <w:p w:rsidR="00687E06" w:rsidP="00687E06" w:rsidRDefault="00687E06">
      <w:pPr>
        <w:pStyle w:val="Naslov2"/>
      </w:pPr>
    </w:p>
    <w:p w:rsidR="00687E06" w:rsidP="00687E06" w:rsidRDefault="00687E06">
      <w:r>
        <w:t xml:space="preserve">            REPUBLIKA HRVATSKA</w:t>
      </w:r>
    </w:p>
    <w:p w:rsidR="00687E06" w:rsidP="00687E06" w:rsidRDefault="00687E06">
      <w:r>
        <w:t>ŽUPANIJSKI SUD SLAVONSKI BROD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               SLAVONSKI BROD</w:t>
      </w:r>
      <w:r>
        <w:rPr>
          <w:szCs w:val="24"/>
        </w:rPr>
        <w:tab/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Poslovni broj: 10 </w:t>
      </w:r>
      <w:proofErr w:type="spellStart"/>
      <w:r>
        <w:rPr>
          <w:szCs w:val="24"/>
        </w:rPr>
        <w:t>Gž</w:t>
      </w:r>
      <w:proofErr w:type="spellEnd"/>
      <w:r>
        <w:rPr>
          <w:szCs w:val="24"/>
        </w:rPr>
        <w:t>-620/2019-3.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jc w:val="center"/>
        <w:rPr>
          <w:szCs w:val="24"/>
        </w:rPr>
      </w:pPr>
      <w:r>
        <w:rPr>
          <w:szCs w:val="24"/>
        </w:rPr>
        <w:t>R E P U B L I K A   H R V A T S K A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</w:p>
    <w:p w:rsidR="00687E06" w:rsidP="00687E06" w:rsidRDefault="00687E06">
      <w:pPr>
        <w:pStyle w:val="Naslov1"/>
        <w:rPr>
          <w:sz w:val="24"/>
          <w:szCs w:val="20"/>
        </w:rPr>
      </w:pPr>
      <w:r>
        <w:rPr>
          <w:b/>
        </w:rPr>
        <w:t>R J E Š E NJ E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</w:r>
    </w:p>
    <w:p w:rsidR="00687E06" w:rsidP="00687E06" w:rsidRDefault="00687E06">
      <w:r>
        <w:t xml:space="preserve">  </w:t>
      </w:r>
      <w:r>
        <w:tab/>
      </w:r>
      <w:r>
        <w:rPr>
          <w:szCs w:val="24"/>
        </w:rPr>
        <w:tab/>
        <w:t xml:space="preserve">Županijski sud u Slavonskom Brodu, u vijeću sastavljenom od sudaca Irene </w:t>
      </w:r>
      <w:proofErr w:type="spellStart"/>
      <w:r>
        <w:rPr>
          <w:szCs w:val="24"/>
        </w:rPr>
        <w:t>Dikanović</w:t>
      </w:r>
      <w:proofErr w:type="spellEnd"/>
      <w:r>
        <w:rPr>
          <w:szCs w:val="24"/>
        </w:rPr>
        <w:t xml:space="preserve"> Terzić predsjednice vijeća, Dubravke Šimić članice vijeća i sutkinje izvjestiteljice i Draženke </w:t>
      </w:r>
      <w:proofErr w:type="spellStart"/>
      <w:r>
        <w:rPr>
          <w:szCs w:val="24"/>
        </w:rPr>
        <w:t>Ilak</w:t>
      </w:r>
      <w:proofErr w:type="spellEnd"/>
      <w:r>
        <w:rPr>
          <w:szCs w:val="24"/>
        </w:rPr>
        <w:t xml:space="preserve"> članice vijeća, u pravnoj stvari tužitelja </w:t>
      </w:r>
      <w:r>
        <w:rPr>
          <w:color w:val="000000"/>
          <w:szCs w:val="24"/>
        </w:rPr>
        <w:t xml:space="preserve">Arhitektonski studio </w:t>
      </w:r>
      <w:proofErr w:type="spellStart"/>
      <w:r>
        <w:rPr>
          <w:color w:val="000000"/>
          <w:szCs w:val="24"/>
        </w:rPr>
        <w:t>Penat</w:t>
      </w:r>
      <w:proofErr w:type="spellEnd"/>
      <w:r>
        <w:rPr>
          <w:color w:val="000000"/>
          <w:szCs w:val="24"/>
        </w:rPr>
        <w:t xml:space="preserve"> d.o.o. u stečaju Zadar, Braće </w:t>
      </w:r>
      <w:proofErr w:type="spellStart"/>
      <w:r>
        <w:rPr>
          <w:color w:val="000000"/>
          <w:szCs w:val="24"/>
        </w:rPr>
        <w:t>Vranjanin</w:t>
      </w:r>
      <w:proofErr w:type="spellEnd"/>
      <w:r>
        <w:rPr>
          <w:color w:val="000000"/>
          <w:szCs w:val="24"/>
        </w:rPr>
        <w:t xml:space="preserve"> 2 (OIB: 48810960584), zastupana po stečajnom upravitelju Savi Filipoviću iz </w:t>
      </w:r>
      <w:proofErr w:type="spellStart"/>
      <w:r>
        <w:rPr>
          <w:color w:val="000000"/>
          <w:szCs w:val="24"/>
        </w:rPr>
        <w:t>Dramlja</w:t>
      </w:r>
      <w:proofErr w:type="spellEnd"/>
      <w:r>
        <w:rPr>
          <w:color w:val="000000"/>
          <w:szCs w:val="24"/>
        </w:rPr>
        <w:t xml:space="preserve">, Braće </w:t>
      </w:r>
      <w:proofErr w:type="spellStart"/>
      <w:r>
        <w:rPr>
          <w:color w:val="000000"/>
          <w:szCs w:val="24"/>
        </w:rPr>
        <w:t>Košuljandić</w:t>
      </w:r>
      <w:proofErr w:type="spellEnd"/>
      <w:r>
        <w:rPr>
          <w:color w:val="000000"/>
          <w:szCs w:val="24"/>
        </w:rPr>
        <w:t xml:space="preserve"> 100/a, a ovaj po punomoćniku Marinu Huzjak odvjetniku iz Zadra, protiv I. tuženika Gorkog </w:t>
      </w:r>
      <w:proofErr w:type="spellStart"/>
      <w:r>
        <w:rPr>
          <w:color w:val="000000"/>
          <w:szCs w:val="24"/>
        </w:rPr>
        <w:t>Čimbura</w:t>
      </w:r>
      <w:proofErr w:type="spellEnd"/>
      <w:r>
        <w:rPr>
          <w:color w:val="000000"/>
          <w:szCs w:val="24"/>
        </w:rPr>
        <w:t xml:space="preserve"> (OIB: 83857493447) i II. tuženice Maje </w:t>
      </w:r>
      <w:proofErr w:type="spellStart"/>
      <w:r>
        <w:rPr>
          <w:color w:val="000000"/>
          <w:szCs w:val="24"/>
        </w:rPr>
        <w:t>Čimbur</w:t>
      </w:r>
      <w:proofErr w:type="spellEnd"/>
      <w:r>
        <w:rPr>
          <w:color w:val="000000"/>
          <w:szCs w:val="24"/>
        </w:rPr>
        <w:t xml:space="preserve"> iz Zadra, Braće </w:t>
      </w:r>
      <w:proofErr w:type="spellStart"/>
      <w:r>
        <w:rPr>
          <w:color w:val="000000"/>
          <w:szCs w:val="24"/>
        </w:rPr>
        <w:t>Vranjanin</w:t>
      </w:r>
      <w:proofErr w:type="spellEnd"/>
      <w:r>
        <w:rPr>
          <w:color w:val="000000"/>
          <w:szCs w:val="24"/>
        </w:rPr>
        <w:t xml:space="preserve"> 2 (OIB: 39730750307), zastupani po punomoćniku Mariu Petani odvjetniku iz Zadra, radi isplate,</w:t>
      </w:r>
      <w:r>
        <w:rPr>
          <w:szCs w:val="24"/>
        </w:rPr>
        <w:t xml:space="preserve"> rješavajući žalbe tužitelja i tuženika protiv presude Općinskog suda u Zadru od 25. travnja 2019., p</w:t>
      </w:r>
      <w:r>
        <w:t xml:space="preserve">oslovni broj: 44 P-784/2017-33., u sjednici vijeća održanoj 9. travnja 2020., 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jc w:val="center"/>
      </w:pPr>
      <w:r>
        <w:t>r i j e š i o      j e</w:t>
      </w:r>
    </w:p>
    <w:p w:rsidR="00687E06" w:rsidP="00687E06" w:rsidRDefault="00687E06">
      <w:pPr>
        <w:jc w:val="center"/>
        <w:rPr>
          <w:b/>
        </w:rPr>
      </w:pPr>
    </w:p>
    <w:p w:rsidR="00687E06" w:rsidP="00687E06" w:rsidRDefault="00687E06">
      <w:pPr>
        <w:jc w:val="center"/>
        <w:rPr>
          <w:szCs w:val="24"/>
        </w:rPr>
      </w:pPr>
    </w:p>
    <w:p w:rsidR="00687E06" w:rsidP="00687E06" w:rsidRDefault="00687E06">
      <w:r>
        <w:t xml:space="preserve">  </w:t>
      </w:r>
      <w:r>
        <w:tab/>
      </w:r>
      <w:r>
        <w:tab/>
        <w:t xml:space="preserve">Ukida se presuda Općinskog </w:t>
      </w:r>
      <w:r>
        <w:rPr>
          <w:szCs w:val="24"/>
        </w:rPr>
        <w:t>suda u Zadru od 25. travnja 2019., p</w:t>
      </w:r>
      <w:r>
        <w:t>oslovni broj: 44 P-784/2017-33.</w:t>
      </w:r>
      <w:r>
        <w:rPr>
          <w:szCs w:val="24"/>
        </w:rPr>
        <w:t xml:space="preserve"> i</w:t>
      </w:r>
      <w:r>
        <w:t xml:space="preserve"> predmet se vraća prvostupanjskom sudu na ponovno suđenje.</w:t>
      </w:r>
    </w:p>
    <w:p w:rsidR="00687E06" w:rsidP="00687E06" w:rsidRDefault="00687E06">
      <w:r>
        <w:tab/>
      </w:r>
      <w:r>
        <w:tab/>
      </w:r>
      <w:r>
        <w:tab/>
      </w:r>
    </w:p>
    <w:p w:rsidR="00687E06" w:rsidP="00687E06" w:rsidRDefault="00687E06"/>
    <w:p w:rsidR="00687E06" w:rsidP="00687E06" w:rsidRDefault="00687E06">
      <w:pPr>
        <w:pStyle w:val="Naslov1"/>
        <w:rPr>
          <w:sz w:val="24"/>
        </w:rPr>
      </w:pPr>
      <w:r>
        <w:rPr>
          <w:b/>
        </w:rPr>
        <w:t>Obrazloženje</w:t>
      </w:r>
    </w:p>
    <w:p w:rsidR="00687E06" w:rsidP="00687E06" w:rsidRDefault="00687E06"/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t xml:space="preserve"> </w:t>
      </w:r>
      <w:r>
        <w:tab/>
        <w:t xml:space="preserve">  </w:t>
      </w:r>
      <w:r>
        <w:tab/>
      </w:r>
      <w:r>
        <w:rPr>
          <w:szCs w:val="24"/>
        </w:rPr>
        <w:t xml:space="preserve">Presudom suda prvog stupnja odbijen je tužbeni zahtjev tužitelja kojim je tražio da se tuženicima naloži da mu isplate i to I. tuženik iznos od 192.745,34 kn, a II. tuženica iznos od 191.285,85 kn sa zakonskom zateznom kamatom uz naknadu parničnog troška (točka I. izreke); tužitelju je naloženo da tuženicima naknadi parnični trošak u iznosu od 15.400,00 kn (točka II. izreke). 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</w:p>
    <w:p w:rsidR="00687E06" w:rsidP="00687E06" w:rsidRDefault="00687E06">
      <w:pPr>
        <w:rPr>
          <w:szCs w:val="24"/>
        </w:rPr>
      </w:pPr>
      <w:r>
        <w:t xml:space="preserve"> </w:t>
      </w:r>
      <w:r>
        <w:tab/>
      </w:r>
      <w:r>
        <w:tab/>
      </w:r>
      <w:r>
        <w:rPr>
          <w:szCs w:val="24"/>
        </w:rPr>
        <w:t>Protiv presude žalbe su pravovremeno podnijeli tužitelj i tuženici.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Tužitelj pobija presudu zbog razloga iz članka 353. stavka 1. točka 1-3. Zakona o parničnom postupku ("Narodne novine" broj 53/91, 91/92, 112/99, 88/01, 117/03, 88/05, 2/07-Odluka USRH, 84/08, 96/08-Odluka USRH, 123/08, 57/11, 148/11 – pročišćeni tekst, 25/13, 89/14, 70/19 – dalje: ZPP). Predlaže da se presuda ukine i predmet vrati prvostupanjskom sudu na ponovno suđenje. Traži trošak sastava žalbe.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 xml:space="preserve">Tuženici pobijaju presudu u točki I. izreke kojom je odlučeno o troškovima postupka – rješenje o troškovima postupka. U žalbi ne navode žalbene razloge, a predlažu da se rješenje o troškovima preinači sukladno žalbenim navodima. Traže trošak sastava žalbe. 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 w:val="20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Tuženici u odgovoru na žalbu tužitelja predlažu da se žalba odbije i prvostupanjska presuda potvrdi.</w:t>
      </w:r>
    </w:p>
    <w:p w:rsidR="00687E06" w:rsidP="00687E06" w:rsidRDefault="00687E06">
      <w:r>
        <w:t xml:space="preserve"> </w:t>
      </w:r>
      <w:r>
        <w:tab/>
      </w:r>
      <w:r>
        <w:tab/>
        <w:t xml:space="preserve"> </w:t>
      </w:r>
      <w:r>
        <w:tab/>
      </w:r>
      <w:r>
        <w:tab/>
      </w:r>
      <w:r>
        <w:tab/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Žalbe su osnovane.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  <w:jc w:val="center"/>
      </w:pPr>
      <w:r>
        <w:t>O žalbi tužitelja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Razlozi prvostupanjske presude o odlučnim činjenicama su nejasni, a izostali su ocjena i zaključak svih izvedenih dokaza, pa presuda ima nedostataka zbog kojih se ne može ispitati, čime je u prvostupanjskom postupku počinjena bitna povreda odredaba parničnog postupka iz članka 354. stavka 2. točka 11. ZPP-a, na koju se pazi po službenoj dužnosti, prema članku 365. stavku 2. ZPP-a, a ukazuje i žalbom.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Predmet spora je zahtjev tužitelja da mu tuženici isplate utužene iznose po osnovu zajma, a taj zahtjev je utemeljio na činjeničnim navodima tužbe, koje nije mijenjao tijekom prvostupanjskog postupka, da je kao zajmodavac s tuženicima, kao zajmoprimcima, tijekom 2014. i 2015. zaključio više ugovora o zajmu, temeljem kojih su mu tuženici dužni utužene iznose, a uz tužbu je priložio ugovore o zajmu na kojima temelji tužbeni zahtjev.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Prvostupanjski sud je proveo dokaz uvidom u te ugovore, međutim taj dokaz nije  ocijenio, pa nije jasno koje činjenice je utvrdio uvidom u te ugovore.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Prvostupanjski sud je prihvatio tvrdnje tuženika da se radi o prividnim ugovorima kojima se zatvarao dug tužitelja prema banci temeljem Ugovora o kreditu koje je tužitelj, kao korisnik kredita, zaključio s bankom, a tuženici su po tim ugovorima bili jamci platci, te da im tužitelj stvarno nije pozajmio bilo kakav iznos novca i to temeljem slijedećih utvrđenja: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rPr>
          <w:szCs w:val="24"/>
        </w:rPr>
      </w:pPr>
      <w:r>
        <w:t>- da je tužitelj po</w:t>
      </w:r>
      <w:r>
        <w:rPr>
          <w:szCs w:val="24"/>
        </w:rPr>
        <w:t xml:space="preserve"> Ugovoru o kreditu broj 011-51014688 od 15. travnja 2013., zaključenim s Hypo bankom korisnik kredita u vrijednosti od 235.000 EUR, a tuženici jamci platci, a radi se o sredstvima koja se moraju iskoristiti za refinanciranje dijela izloženosti grupe povezanih osoba unutar Hypo banke d.d. po partijama 907-0025100470-756, 907-0051002203-978, 907-0051007967-978, 929-2310001663-191, 908-0025315978-756 i 921-0990104015-191.;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>- da je tužitelj po Ugovoru o kreditu broj 011-51014686 od 15. travnja 2013. zaključenim s Hypo bankom korisnik kredita u vrijednosti od 117.000 EUR, a tuženici jamci platci, te je u članku 2. ugovoreno da se korisnik kredita obvezuje da će odobrena sredstva iskoristiti za refinanciranje dijela izloženosti grupe povezanih osoba unutar Hypo banke d.d. po partijama 907-0025100470-756, 907-0051002203-978, 907-0051007967-978, 929-2310001663-191, 908-0025315978-756 i 921-0990104015-191.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- da je Ljubica Šimunović uplatila </w:t>
      </w:r>
      <w:proofErr w:type="spellStart"/>
      <w:r>
        <w:rPr>
          <w:szCs w:val="24"/>
        </w:rPr>
        <w:t>Addiko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bank</w:t>
      </w:r>
      <w:proofErr w:type="spellEnd"/>
      <w:r>
        <w:rPr>
          <w:szCs w:val="24"/>
        </w:rPr>
        <w:t xml:space="preserve"> iznose od 1.048.101,60 kn i 149.728,80 kn, a kao svrha plaćanja navedena je uplata po pismu namjere – </w:t>
      </w:r>
      <w:proofErr w:type="spellStart"/>
      <w:r>
        <w:rPr>
          <w:szCs w:val="24"/>
        </w:rPr>
        <w:t>brisovno</w:t>
      </w:r>
      <w:proofErr w:type="spellEnd"/>
      <w:r>
        <w:rPr>
          <w:szCs w:val="24"/>
        </w:rPr>
        <w:t xml:space="preserve"> očitovanje za Gorki </w:t>
      </w:r>
      <w:proofErr w:type="spellStart"/>
      <w:r>
        <w:rPr>
          <w:szCs w:val="24"/>
        </w:rPr>
        <w:t>Čimbur</w:t>
      </w:r>
      <w:proofErr w:type="spellEnd"/>
      <w:r>
        <w:rPr>
          <w:szCs w:val="24"/>
        </w:rPr>
        <w:t xml:space="preserve"> i otplata dijela kredita Gorki </w:t>
      </w:r>
      <w:proofErr w:type="spellStart"/>
      <w:r>
        <w:rPr>
          <w:szCs w:val="24"/>
        </w:rPr>
        <w:t>Čimbur</w:t>
      </w:r>
      <w:proofErr w:type="spellEnd"/>
      <w:r>
        <w:rPr>
          <w:szCs w:val="24"/>
        </w:rPr>
        <w:t xml:space="preserve">; </w:t>
      </w: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- da je dug tužitelja temeljem ugovora o kreditima broj 011-51014688 i broj 011-51014686 - 2.613.656,90 kn, na dan 19. svibnja 2016. koji je ujedno i datum otvaranja stečajnog postupka nad tužiteljem. 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Temeljem navedenih utvrđenja zaključak prvostupanjskog suda je da su uplatom banci iznosa od 1.048.101,60 kn i 149.728,80 kn od strane Ljubice Šimunović tuženici vratili dug tužitelju prema banci temeljem podignutih kredita.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Za taj zaključak prvostupanjski sud ne daje jasne razloge obzirom da su sami tuženici iskazali da je navedenim ugovorima o kreditu reprogramiran i kredit koji su oni podigli kao privatne osobe za kupnju stana, zbog čega su 2013. s tužiteljem zaključili svaki ugovor o pozajmicama, kojima im je tužitelj fiktivno pozajmio svakome polovinu iznosa kredita za privatni stan, a oni su stvarno otplaćivali rate svog kredita, koji su u cijelosti otplatili nakon prodaje stana uplatom banci iznosa od 1.048.101,60 kn i 149.728,80 kn, od strane Ljubice Šimunović.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>U dokaz tih tvrdnji priložili su u spis Ugovore o kratkoročnoj pozajmici broj 1/2013. i 2/2013., koje su 31. svibnja 2013. zaključili kao primatelji pozajmice u iznosu od 531.623,81 kn svaki, s tužiteljem kao davateljem pozajmice.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Prvostupanjski sud prihvaća navedene tvrdnje tuženika da su Ugovori o zajmu, na kojima tužitelj temelji tužbeni zahtjev fiktivni, međutim ne obrazlaže iz kojih razloga su tuženici, nakon zaključenja Ugovora o pozajmici iz 2013., kojima su pokrili knjigovodstvenu dokumentaciju u vezi kredita, što je i bio cilj zaključenja tih ugovora, kako su iskazali sami tuženici, ponovno s tužiteljem tijekom 2014. i 2015. višekratno zaključivali ugovore o pozajmici, iz istih razloga.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pPr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 xml:space="preserve">Tuženici su u spis priložili potvrdu banke da su uplatili banci iznose od  1.048.101,60 kn i 149.728,80 kn, iz čega bi proizlazilo da su ispunili svoju obvezu isplate kredita koji su oni podigli u privatne svrhe, a istim je u banci zadužen kao korisnik tužitelj, pa nije jasno što su tuženici "pokrili" ugovorima o pozajmici na kojima tužitelj temelji tužbeni zahtjev jer prvostupanjski sud to ne obrazlaže, a prihvaća tvrdnju tuženika da su i to prividni ugovori bez predaje novca, zaključeni radi usklađivanja knjigovodstva. </w:t>
      </w:r>
    </w:p>
    <w:p w:rsidR="00687E06" w:rsidP="00687E06" w:rsidRDefault="00687E06">
      <w:pPr>
        <w:rPr>
          <w:szCs w:val="24"/>
        </w:rPr>
      </w:pPr>
    </w:p>
    <w:p w:rsidR="00687E06" w:rsidP="00687E06" w:rsidRDefault="00687E06"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  <w:t xml:space="preserve">Nadalje, prvostupanjski sud zaključuje da su ugovori o pozajmici u odnosu na I. tuženika </w:t>
      </w:r>
      <w:proofErr w:type="spellStart"/>
      <w:r>
        <w:rPr>
          <w:szCs w:val="24"/>
        </w:rPr>
        <w:t>ništetni</w:t>
      </w:r>
      <w:proofErr w:type="spellEnd"/>
      <w:r>
        <w:rPr>
          <w:szCs w:val="24"/>
        </w:rPr>
        <w:t xml:space="preserve"> jer I. tuženik kao direktor tužitelja nije mogao s tužiteljem zaključivati ugovore, čime je povrijeđen članak 49. Zakona o trgovačkim društvima ("Narodne novine" broj 111/93, 34/99, 121/99, 52/00, 118/03, 107/07, 146/08, 137/09, 125/11, 152/11, 111/12, 68/13, 110/15), pa bi tužitelj, kao posljedice ništavosti, imao pravo na povrat utuženog iznosa, međutim, kako traži isplatu utuženog iznosa temeljem zajma, a ne stjecanja bez osnove, ne može mu se dosuditi ono što ne traži.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Obzirom da sud nije vezan za pravnu osnovu tužbenog zahtjeva, takav zaključak prvostupanjskog suda je pogrešan.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Zbog navedenog, žalba je prihvaćena i prvostupanjska presuda ukinuta, sukladno članku 369. stavku 1. ZPP-a, te je predmet vraćen prvostupanjskom sudu na ponovno suđenje.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Obzirom da su tuženici uložili žalbu samo na odluku o troškovima postupka, a koja ovisi o uspjehu stranaka u postupku, o njihovoj žalbi nije posebno raspravljano.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lastRenderedPageBreak/>
        <w:t xml:space="preserve"> </w:t>
      </w:r>
      <w:r>
        <w:tab/>
      </w:r>
      <w:r>
        <w:tab/>
        <w:t>U nastavku postupka prvostupanjski sud će otkloniti navedenu bitnu povredu odredaba parničnog postupka te će dati jasne i razumljive razloge za svoju odluku, pri čemu će voditi računa o tome da sud nije vezan pravnom osnovom tužbenog zahtjeva.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ab/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U novoj odluci odlučit će o troškovima postupka.</w:t>
      </w:r>
    </w:p>
    <w:p w:rsidR="00687E06" w:rsidP="00687E06" w:rsidRDefault="00687E06">
      <w:pPr>
        <w:tabs>
          <w:tab w:val="left" w:pos="-3402"/>
          <w:tab w:val="left" w:pos="-3261"/>
        </w:tabs>
        <w:ind w:right="-31"/>
      </w:pPr>
    </w:p>
    <w:p w:rsidR="00687E06" w:rsidP="00687E06" w:rsidRDefault="00687E06">
      <w:pPr>
        <w:tabs>
          <w:tab w:val="left" w:pos="-3402"/>
          <w:tab w:val="left" w:pos="-3261"/>
        </w:tabs>
        <w:ind w:right="-31"/>
      </w:pPr>
      <w:r>
        <w:t xml:space="preserve"> </w:t>
      </w:r>
      <w:r>
        <w:tab/>
      </w:r>
      <w:r>
        <w:tab/>
        <w:t>Radi izloženog, odlučeno je kao u izreci.</w:t>
      </w:r>
    </w:p>
    <w:p w:rsidR="00687E06" w:rsidP="00687E06" w:rsidRDefault="00687E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7E06" w:rsidP="00687E06" w:rsidRDefault="00687E06">
      <w:pPr>
        <w:jc w:val="center"/>
      </w:pPr>
      <w:r>
        <w:t>Slavonski Brod, 9. travnja 2020.</w:t>
      </w:r>
    </w:p>
    <w:p w:rsidR="00687E06" w:rsidP="00687E06" w:rsidRDefault="00687E06">
      <w:pPr>
        <w:jc w:val="center"/>
      </w:pPr>
    </w:p>
    <w:p w:rsidR="00687E06" w:rsidP="00687E06" w:rsidRDefault="00687E0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Predsjednica vijeća</w:t>
      </w:r>
    </w:p>
    <w:p w:rsidR="00687E06" w:rsidP="00687E06" w:rsidRDefault="00687E06"/>
    <w:p w:rsidR="00687E06" w:rsidP="00687E06" w:rsidRDefault="00687E06">
      <w:pPr>
        <w:rPr>
          <w:rFonts w:ascii="Arial Narrow" w:hAnsi="Arial Narrow"/>
          <w:sz w:val="2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Irena </w:t>
      </w:r>
      <w:proofErr w:type="spellStart"/>
      <w:r>
        <w:t>Dikanović</w:t>
      </w:r>
      <w:proofErr w:type="spellEnd"/>
      <w:r>
        <w:t xml:space="preserve"> Terzić </w:t>
      </w:r>
    </w:p>
    <w:p w:rsidR="00687E06" w:rsidP="00687E06" w:rsidRDefault="00687E06"/>
    <w:p w:rsidRPr="003E4801" w:rsidR="003E4801" w:rsidP="003E4801" w:rsidRDefault="003E4801">
      <w:pPr>
        <w:autoSpaceDE w:val="false"/>
        <w:autoSpaceDN w:val="false"/>
        <w:adjustRightInd w:val="false"/>
        <w:jc w:val="left"/>
        <w:rPr>
          <w:rFonts w:eastAsiaTheme="minorHAnsi"/>
          <w:color w:val="000000"/>
          <w:szCs w:val="24"/>
        </w:rPr>
      </w:pPr>
      <w:bookmarkStart w:name="_GoBack" w:id="0"/>
      <w:bookmarkEnd w:id="0"/>
    </w:p>
    <w:sectPr w:rsidRPr="003E4801" w:rsidR="003E4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B3"/>
    <w:rsid w:val="00076B31"/>
    <w:rsid w:val="000D61D3"/>
    <w:rsid w:val="000E27E6"/>
    <w:rsid w:val="002543A9"/>
    <w:rsid w:val="0037274B"/>
    <w:rsid w:val="00394C6C"/>
    <w:rsid w:val="003E4801"/>
    <w:rsid w:val="0041749C"/>
    <w:rsid w:val="00417E02"/>
    <w:rsid w:val="004A52E8"/>
    <w:rsid w:val="004A6393"/>
    <w:rsid w:val="00687E06"/>
    <w:rsid w:val="00776B5E"/>
    <w:rsid w:val="00786DA3"/>
    <w:rsid w:val="0080716C"/>
    <w:rsid w:val="009018E7"/>
    <w:rsid w:val="009E6E66"/>
    <w:rsid w:val="00A3479C"/>
    <w:rsid w:val="00B11EC3"/>
    <w:rsid w:val="00B148C6"/>
    <w:rsid w:val="00B22CF1"/>
    <w:rsid w:val="00B716AE"/>
    <w:rsid w:val="00B85A20"/>
    <w:rsid w:val="00D040B3"/>
    <w:rsid w:val="00D776B6"/>
    <w:rsid w:val="00E35CD8"/>
    <w:rsid w:val="00E74D7B"/>
    <w:rsid w:val="00EA36C9"/>
    <w:rsid w:val="00EA62CC"/>
    <w:rsid w:val="00EC37E7"/>
    <w:rsid w:val="00EC4AC1"/>
    <w:rsid w:val="00FA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6E6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Naslov1">
    <w:name w:val="heading 1"/>
    <w:basedOn w:val="Normal"/>
    <w:next w:val="Normal"/>
    <w:link w:val="Naslov1Char"/>
    <w:qFormat/>
    <w:rsid w:val="00B85A20"/>
    <w:pPr>
      <w:keepNext/>
      <w:jc w:val="center"/>
      <w:outlineLvl w:val="0"/>
    </w:pPr>
    <w:rPr>
      <w:sz w:val="28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85A20"/>
    <w:pPr>
      <w:keepNext/>
      <w:jc w:val="center"/>
      <w:outlineLvl w:val="1"/>
    </w:pPr>
    <w:rPr>
      <w:b/>
      <w:bCs/>
      <w:sz w:val="28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semiHidden/>
    <w:unhideWhenUsed/>
    <w:rsid w:val="004A52E8"/>
    <w:pPr>
      <w:jc w:val="left"/>
    </w:pPr>
    <w:rPr>
      <w:rFonts w:ascii="Calibri" w:hAnsi="Calibri" w:eastAsiaTheme="minorHAnsi" w:cstheme="minorBidi"/>
      <w:sz w:val="22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4A52E8"/>
    <w:rPr>
      <w:rFonts w:ascii="Calibri" w:hAnsi="Calibri"/>
      <w:szCs w:val="21"/>
    </w:rPr>
  </w:style>
  <w:style w:type="paragraph" w:styleId="t-9-8" w:customStyle="true">
    <w:name w:val="t-9-8"/>
    <w:basedOn w:val="Normal"/>
    <w:rsid w:val="004A52E8"/>
    <w:pPr>
      <w:spacing w:before="100" w:beforeAutospacing="true" w:after="225"/>
      <w:jc w:val="left"/>
    </w:pPr>
    <w:rPr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A52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52E8"/>
    <w:rPr>
      <w:rFonts w:ascii="Tahoma" w:hAnsi="Tahoma" w:eastAsia="Times New Roman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semiHidden/>
    <w:unhideWhenUsed/>
    <w:rsid w:val="00E74D7B"/>
    <w:pPr>
      <w:spacing w:after="120"/>
      <w:ind w:left="283"/>
      <w:jc w:val="left"/>
    </w:pPr>
    <w:rPr>
      <w:sz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E74D7B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paragraph" w:styleId="BodyText21" w:customStyle="true">
    <w:name w:val="Body Text 21"/>
    <w:basedOn w:val="Normal"/>
    <w:rsid w:val="00E74D7B"/>
    <w:pPr>
      <w:overflowPunct w:val="false"/>
      <w:autoSpaceDE w:val="false"/>
      <w:autoSpaceDN w:val="false"/>
      <w:adjustRightInd w:val="false"/>
    </w:pPr>
    <w:rPr>
      <w:b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417E02"/>
    <w:pPr>
      <w:tabs>
        <w:tab w:val="center" w:pos="4320"/>
        <w:tab w:val="right" w:pos="8640"/>
      </w:tabs>
    </w:pPr>
    <w:rPr>
      <w:rFonts w:ascii="Arial" w:hAnsi="Arial"/>
      <w:noProof/>
      <w:sz w:val="22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semiHidden/>
    <w:rsid w:val="00417E02"/>
    <w:rPr>
      <w:rFonts w:ascii="Arial" w:hAnsi="Arial" w:eastAsia="Times New Roman" w:cs="Times New Roman"/>
      <w:noProof/>
      <w:szCs w:val="20"/>
      <w:lang w:val="en-US"/>
    </w:rPr>
  </w:style>
  <w:style w:type="paragraph" w:styleId="VSVerzija" w:customStyle="true">
    <w:name w:val="VS_Verzija"/>
    <w:basedOn w:val="Normal"/>
    <w:rsid w:val="00417E02"/>
    <w:rPr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rsid w:val="00B85A20"/>
    <w:rPr>
      <w:rFonts w:ascii="Times New Roman" w:hAnsi="Times New Roman" w:eastAsia="Times New Roman" w:cs="Times New Roman"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B85A2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paragraph" w:styleId="Bezproreda">
    <w:name w:val="No Spacing"/>
    <w:uiPriority w:val="1"/>
    <w:qFormat/>
    <w:rsid w:val="00E35CD8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0D61D3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B148C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6E6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qFormat/>
    <w:rsid w:val="00B85A20"/>
    <w:pPr>
      <w:keepNext/>
      <w:jc w:val="center"/>
      <w:outlineLvl w:val="0"/>
    </w:pPr>
    <w:rPr>
      <w:sz w:val="28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5A20"/>
    <w:pPr>
      <w:keepNext/>
      <w:jc w:val="center"/>
      <w:outlineLvl w:val="1"/>
    </w:pPr>
    <w:rPr>
      <w:b/>
      <w:bCs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semiHidden/>
    <w:unhideWhenUsed/>
    <w:rsid w:val="004A52E8"/>
    <w:pPr>
      <w:jc w:val="left"/>
    </w:pPr>
    <w:rPr>
      <w:rFonts w:ascii="Calibri" w:cstheme="minorBidi" w:eastAsiaTheme="minorHAnsi" w:hAnsi="Calibri"/>
      <w:sz w:val="22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4A52E8"/>
    <w:rPr>
      <w:rFonts w:ascii="Calibri" w:hAnsi="Calibri"/>
      <w:szCs w:val="21"/>
    </w:rPr>
  </w:style>
  <w:style w:customStyle="1" w:styleId="t-9-8" w:type="paragraph">
    <w:name w:val="t-9-8"/>
    <w:basedOn w:val="Normal"/>
    <w:rsid w:val="004A52E8"/>
    <w:pPr>
      <w:spacing w:after="225" w:before="100" w:beforeAutospacing="1"/>
      <w:jc w:val="left"/>
    </w:pPr>
    <w:rPr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2E8"/>
    <w:rPr>
      <w:rFonts w:ascii="Tahoma" w:cs="Tahoma" w:eastAsia="Times New Roman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semiHidden/>
    <w:unhideWhenUsed/>
    <w:rsid w:val="00E74D7B"/>
    <w:pPr>
      <w:spacing w:after="120"/>
      <w:ind w:left="283"/>
      <w:jc w:val="left"/>
    </w:pPr>
    <w:rPr>
      <w:sz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74D7B"/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BodyText21" w:type="paragraph">
    <w:name w:val="Body Text 21"/>
    <w:basedOn w:val="Normal"/>
    <w:rsid w:val="00E74D7B"/>
    <w:pPr>
      <w:overflowPunct w:val="0"/>
      <w:autoSpaceDE w:val="0"/>
      <w:autoSpaceDN w:val="0"/>
      <w:adjustRightInd w:val="0"/>
    </w:pPr>
    <w:rPr>
      <w:b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417E02"/>
    <w:pPr>
      <w:tabs>
        <w:tab w:pos="4320" w:val="center"/>
        <w:tab w:pos="8640" w:val="right"/>
      </w:tabs>
    </w:pPr>
    <w:rPr>
      <w:rFonts w:ascii="Arial" w:hAnsi="Arial"/>
      <w:noProof/>
      <w:sz w:val="22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17E02"/>
    <w:rPr>
      <w:rFonts w:ascii="Arial" w:cs="Times New Roman" w:eastAsia="Times New Roman" w:hAnsi="Arial"/>
      <w:noProof/>
      <w:szCs w:val="20"/>
      <w:lang w:val="en-US"/>
    </w:rPr>
  </w:style>
  <w:style w:customStyle="1" w:styleId="VSVerzija" w:type="paragraph">
    <w:name w:val="VS_Verzija"/>
    <w:basedOn w:val="Normal"/>
    <w:rsid w:val="00417E02"/>
    <w:rPr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B85A20"/>
    <w:rPr>
      <w:rFonts w:ascii="Times New Roman" w:cs="Times New Roman" w:eastAsia="Times New Roman" w:hAnsi="Times New Roman"/>
      <w:sz w:val="28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B85A2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E35CD8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D61D3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B148C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960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959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013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400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014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70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509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21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931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361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59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1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233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1325</properties:Words>
  <properties:Characters>7557</properties:Characters>
  <properties:Lines>62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2020-05-07T10:36:00Z</dcterms:created>
  <dc:creator>Ivka Brkić</dc:creator>
  <cp:lastModifiedBy>Ivka Brkić</cp:lastModifiedBy>
  <dcterms:modified xmlns:xsi="http://www.w3.org/2001/XMLSchema-instance" xsi:type="dcterms:W3CDTF">2020-05-07T10:36:00Z</dcterms:modified>
  <cp:revision>2</cp:revision>
</cp:coreProperties>
</file>